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东莞市名校研究生培养（实践）基地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企业导师遴选办法（试行）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企业导师应有较高的学术水平和较显著的工作成果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目前所从事的工作特色突出，有重要的理论意义和实际应用价值，熟悉本学科、专业方向的前沿技术及应用发展动态。满足以下条件者，均可担任企业导师一职：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具有高尚的职业道德和严谨的科学态度，热爱研究生教育事业。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具有坚实的理论基础和系统的专业知识，具有较高的理论水平和专业技术水平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熟悉相关专业领域工作所需知识、技能和职业素养。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具有丰富的专业实践经验，所指导的专业学位类别（领域）应与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导师所从事工作和专业背景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相似或</w:t>
      </w:r>
      <w:r>
        <w:rPr>
          <w:rFonts w:hint="eastAsia" w:ascii="仿宋_GB2312" w:hAnsi="仿宋_GB2312" w:eastAsia="仿宋_GB2312" w:cs="仿宋_GB2312"/>
          <w:sz w:val="32"/>
          <w:szCs w:val="32"/>
        </w:rPr>
        <w:t>相近。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了解专业学位研究生培养全过程及学位要求，能协助校内导师指导研究生进行文献阅读、课题研究和论文撰写。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具有丰富的实践经验和较显著的工作成果，达到以下条件之一者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具有博士学历的人员，或具有硕士学历且具有3年以上工作经验；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具有副</w:t>
      </w:r>
      <w:r>
        <w:rPr>
          <w:rFonts w:hint="eastAsia" w:ascii="仿宋_GB2312" w:hAnsi="仿宋_GB2312" w:eastAsia="仿宋_GB2312" w:cs="仿宋_GB2312"/>
          <w:sz w:val="32"/>
          <w:szCs w:val="32"/>
        </w:rPr>
        <w:t>高级技术职称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主持市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级以上科研项目的研究与开发人员；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级以上科技类或社科类奖项的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，且为第一完成人；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近5年来主持或为主（前三位）承担过省部级以上科研项目或经费数额较大的横向科研课题，并有充足的科研经费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大中型企事业单位的技术总监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以上人员；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近5年来发表过4篇以上高水平专业学术研究论文，或独立出版过一部以上学术著作；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年龄一般不超过六十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</w:rPr>
        <w:t>岁。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备案与认定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企业导师的确定主要通过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实践单位的</w:t>
      </w:r>
      <w:r>
        <w:rPr>
          <w:rFonts w:hint="eastAsia" w:ascii="仿宋_GB2312" w:hAnsi="仿宋_GB2312" w:eastAsia="仿宋_GB2312" w:cs="仿宋_GB2312"/>
          <w:sz w:val="32"/>
          <w:szCs w:val="32"/>
        </w:rPr>
        <w:t>指定和研究生选报相结合的方式，遵循导师、研究生双向选择的原则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企业导师由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实践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以项目为基础，根据上述条件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遴选和推荐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参考“一、基本条件”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被推荐者填写《东莞市名校研究生培养（实践）基地导师备案表》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简称“《备案表》”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，并提供能证明满足遴选条件的佐证材料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实践单位相关领导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填写推荐意见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，并有实践单位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收集导师申请表并填写《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东莞市名校研究生培养（实践）基地企业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导师汇总表》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3，简称“《汇总表》”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提交至东莞市名校研究生培育发展中心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东莞市名校研究生培育发展中心组织企业导师认定小组，对实践单位提交的备案材料进行认定；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认定</w:t>
      </w:r>
      <w:r>
        <w:rPr>
          <w:rFonts w:hint="eastAsia" w:ascii="仿宋_GB2312" w:hAnsi="仿宋_GB2312" w:eastAsia="仿宋_GB2312" w:cs="仿宋_GB2312"/>
          <w:sz w:val="32"/>
          <w:szCs w:val="32"/>
        </w:rPr>
        <w:t>结果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东莞市名校研究生培育发展中心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站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基地动态</w:t>
      </w:r>
      <w:r>
        <w:rPr>
          <w:rFonts w:hint="eastAsia" w:ascii="仿宋_GB2312" w:hAnsi="仿宋_GB2312" w:eastAsia="仿宋_GB2312" w:cs="仿宋_GB2312"/>
          <w:sz w:val="32"/>
          <w:szCs w:val="32"/>
        </w:rPr>
        <w:t>”栏公示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5个工作日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网上公示无异议后，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报送以下材料至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市科技局</w:t>
      </w:r>
      <w:r>
        <w:rPr>
          <w:rFonts w:hint="eastAsia" w:ascii="仿宋_GB2312" w:hAnsi="仿宋_GB2312" w:eastAsia="仿宋_GB2312" w:cs="仿宋_GB2312"/>
          <w:sz w:val="32"/>
          <w:szCs w:val="32"/>
        </w:rPr>
        <w:t>办备案：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《东莞市名校研究生培养（实践）基地导师备案表》（附件1）及相关佐证材料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东莞市名校研究生培养（实践）基地企业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导师汇总表》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86C89"/>
    <w:multiLevelType w:val="singleLevel"/>
    <w:tmpl w:val="58F86C89"/>
    <w:lvl w:ilvl="0" w:tentative="0">
      <w:start w:val="1"/>
      <w:numFmt w:val="chineseCounting"/>
      <w:suff w:val="nothing"/>
      <w:lvlText w:val="（%1）"/>
      <w:lvlJc w:val="left"/>
      <w:pPr>
        <w:ind w:left="0" w:leftChars="0" w:firstLine="420" w:firstLineChars="0"/>
      </w:pPr>
      <w:rPr>
        <w:rFonts w:hint="eastAsia"/>
      </w:rPr>
    </w:lvl>
  </w:abstractNum>
  <w:abstractNum w:abstractNumId="1">
    <w:nsid w:val="58F86CA0"/>
    <w:multiLevelType w:val="singleLevel"/>
    <w:tmpl w:val="58F86CA0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abstractNum w:abstractNumId="2">
    <w:nsid w:val="58F86EE4"/>
    <w:multiLevelType w:val="singleLevel"/>
    <w:tmpl w:val="58F86EE4"/>
    <w:lvl w:ilvl="0" w:tentative="0">
      <w:start w:val="2"/>
      <w:numFmt w:val="chineseCounting"/>
      <w:suff w:val="nothing"/>
      <w:lvlText w:val="%1、"/>
      <w:lvlJc w:val="left"/>
    </w:lvl>
  </w:abstractNum>
  <w:abstractNum w:abstractNumId="3">
    <w:nsid w:val="58F87D9F"/>
    <w:multiLevelType w:val="singleLevel"/>
    <w:tmpl w:val="58F87D9F"/>
    <w:lvl w:ilvl="0" w:tentative="0">
      <w:start w:val="1"/>
      <w:numFmt w:val="chineseCounting"/>
      <w:suff w:val="nothing"/>
      <w:lvlText w:val="（%1）"/>
      <w:lvlJc w:val="left"/>
      <w:pPr>
        <w:ind w:left="0" w:leftChars="0" w:firstLine="420" w:firstLineChars="0"/>
      </w:pPr>
      <w:rPr>
        <w:rFonts w:hint="eastAsia"/>
      </w:rPr>
    </w:lvl>
  </w:abstractNum>
  <w:abstractNum w:abstractNumId="4">
    <w:nsid w:val="58F87EAD"/>
    <w:multiLevelType w:val="singleLevel"/>
    <w:tmpl w:val="58F87EAD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01000"/>
    <w:rsid w:val="286F3F71"/>
    <w:rsid w:val="31401000"/>
    <w:rsid w:val="4D1B1C87"/>
    <w:rsid w:val="54432D15"/>
    <w:rsid w:val="7AD730D7"/>
    <w:rsid w:val="7C2B64CB"/>
    <w:rsid w:val="7C9C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2017-09-26T01:54:00Z</dcterms:created>
  <dc:creator>Administrator</dc:creator>
  <cp:lastModifiedBy>李嘉琪</cp:lastModifiedBy>
  <dcterms:modified xsi:type="dcterms:W3CDTF">2018-06-19T07:45:53Z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